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[Date]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TransUnion Consumer Solutions</w:t>
        <w:br w:type="textWrapping"/>
        <w:t xml:space="preserve"> P.O. Box 2000</w:t>
        <w:br w:type="textWrapping"/>
        <w:t xml:space="preserve"> Chester, PA 19016-2000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Re: Identity Theft — Formal Dispute; Demand to Block/Remove Fraudulent Items</w:t>
        <w:br w:type="textWrapping"/>
      </w:r>
      <w:r w:rsidDel="00000000" w:rsidR="00000000" w:rsidRPr="00000000">
        <w:rPr>
          <w:rtl w:val="0"/>
        </w:rPr>
        <w:t xml:space="preserve"> Consumer: [Your Full Name]</w:t>
        <w:br w:type="textWrapping"/>
        <w:t xml:space="preserve"> DOB: [mm/dd/yyyy]</w:t>
        <w:br w:type="textWrapping"/>
        <w:t xml:space="preserve"> SSN (last 4): [1234]</w:t>
        <w:br w:type="textWrapping"/>
        <w:t xml:space="preserve"> Current Address: [Street, City, State, ZIP]</w:t>
        <w:br w:type="textWrapping"/>
        <w:t xml:space="preserve"> Police Report #: [ ]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Whom It May Concern: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TransUnion is hereby notified that identity theft has resulted in fraudulent accounts appearing on my credit file. I did </w:t>
      </w:r>
      <w:r w:rsidDel="00000000" w:rsidR="00000000" w:rsidRPr="00000000">
        <w:rPr>
          <w:b w:val="1"/>
          <w:rtl w:val="0"/>
        </w:rPr>
        <w:t xml:space="preserve">not</w:t>
      </w:r>
      <w:r w:rsidDel="00000000" w:rsidR="00000000" w:rsidRPr="00000000">
        <w:rPr>
          <w:rtl w:val="0"/>
        </w:rPr>
        <w:t xml:space="preserve"> open or authorize the account listed below: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Fraudulent Accounts: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ABC Company / Account #: 5521456XXXX / Reason: Fraudulent. Not mine.</w:t>
        <w:br w:type="textWrapping"/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Enclosures:</w:t>
      </w:r>
      <w:r w:rsidDel="00000000" w:rsidR="00000000" w:rsidRPr="00000000">
        <w:rPr>
          <w:rtl w:val="0"/>
        </w:rPr>
        <w:t xml:space="preserve"> FTC Identity Theft Affidavit (copy), Police report (copy), Photo ID (copy), Proof of current address (copy), Credit report pages showing the fraudulent item (copy).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Demand: Under the FCRA, immediately block/remove the fraudulent account, notify the furnisher, and provide written confirmation along with an updated free credit report.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Sincerely,</w:t>
        <w:br w:type="textWrapping"/>
        <w:t xml:space="preserve"> [Signature]</w:t>
        <w:br w:type="textWrapping"/>
        <w:t xml:space="preserve"> [Printed Name]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